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9CE" w:rsidRDefault="00987E97">
      <w:pPr>
        <w:jc w:val="both"/>
      </w:pPr>
      <w:r>
        <w:rPr>
          <w:i/>
        </w:rPr>
        <w:t>Adopted: October 27, 2003</w:t>
      </w:r>
      <w:r>
        <w:rPr>
          <w:rFonts w:ascii="Helvetica Neue" w:eastAsia="Helvetica Neue" w:hAnsi="Helvetica Neue" w:cs="Helvetica Neue"/>
          <w:i/>
        </w:rPr>
        <w:tab/>
      </w:r>
      <w:r w:rsidR="00357E7B">
        <w:rPr>
          <w:rFonts w:ascii="Helvetica Neue" w:eastAsia="Helvetica Neue" w:hAnsi="Helvetica Neue" w:cs="Helvetica Neue"/>
          <w:i/>
        </w:rPr>
        <w:tab/>
      </w:r>
      <w:r w:rsidR="00357E7B">
        <w:rPr>
          <w:rFonts w:ascii="Helvetica Neue" w:eastAsia="Helvetica Neue" w:hAnsi="Helvetica Neue" w:cs="Helvetica Neue"/>
          <w:i/>
        </w:rPr>
        <w:tab/>
      </w:r>
      <w:bookmarkStart w:id="0" w:name="_GoBack"/>
      <w:bookmarkEnd w:id="0"/>
      <w:r>
        <w:rPr>
          <w:rFonts w:ascii="Helvetica Neue" w:eastAsia="Helvetica Neue" w:hAnsi="Helvetica Neue" w:cs="Helvetica Neue"/>
          <w:i/>
        </w:rPr>
        <w:t>Kittson Central</w:t>
      </w:r>
      <w:r>
        <w:rPr>
          <w:i/>
        </w:rPr>
        <w:t xml:space="preserve"> Policy 522</w:t>
      </w:r>
    </w:p>
    <w:p w:rsidR="005A79CE" w:rsidRDefault="005A79CE">
      <w:pPr>
        <w:jc w:val="right"/>
      </w:pPr>
    </w:p>
    <w:p w:rsidR="005A79CE" w:rsidRDefault="00987E97">
      <w:pPr>
        <w:jc w:val="both"/>
      </w:pPr>
      <w:r>
        <w:rPr>
          <w:i/>
        </w:rPr>
        <w:t xml:space="preserve">Revised: January 2007, </w:t>
      </w:r>
      <w:r w:rsidR="00357E7B">
        <w:rPr>
          <w:i/>
        </w:rPr>
        <w:t>May</w:t>
      </w:r>
      <w:r>
        <w:rPr>
          <w:i/>
        </w:rPr>
        <w:t xml:space="preserve"> 2018</w:t>
      </w:r>
      <w:r>
        <w:rPr>
          <w:rFonts w:ascii="Helvetica Neue" w:eastAsia="Helvetica Neue" w:hAnsi="Helvetica Neue" w:cs="Helvetica Neue"/>
          <w:i/>
        </w:rPr>
        <w:tab/>
      </w:r>
    </w:p>
    <w:p w:rsidR="005A79CE" w:rsidRDefault="005A79CE">
      <w:pPr>
        <w:jc w:val="both"/>
      </w:pPr>
    </w:p>
    <w:p w:rsidR="005A79CE" w:rsidRDefault="005A79CE">
      <w:pPr>
        <w:jc w:val="both"/>
      </w:pPr>
    </w:p>
    <w:p w:rsidR="005A79CE" w:rsidRDefault="00987E97">
      <w:pPr>
        <w:ind w:left="720"/>
        <w:jc w:val="both"/>
      </w:pPr>
      <w:r>
        <w:rPr>
          <w:b/>
        </w:rPr>
        <w:t>522</w:t>
      </w:r>
      <w:r>
        <w:rPr>
          <w:b/>
        </w:rPr>
        <w:tab/>
        <w:t>STUDENT SEX NONDISCRIMINATION</w:t>
      </w:r>
    </w:p>
    <w:p w:rsidR="005A79CE" w:rsidRDefault="005A79CE">
      <w:pPr>
        <w:jc w:val="both"/>
      </w:pPr>
    </w:p>
    <w:p w:rsidR="005A79CE" w:rsidRDefault="005A79CE">
      <w:pPr>
        <w:jc w:val="both"/>
      </w:pPr>
    </w:p>
    <w:p w:rsidR="005A79CE" w:rsidRDefault="00987E97">
      <w:pPr>
        <w:ind w:left="720"/>
        <w:jc w:val="both"/>
      </w:pPr>
      <w:r>
        <w:rPr>
          <w:b/>
        </w:rPr>
        <w:t>I.</w:t>
      </w:r>
      <w:r>
        <w:rPr>
          <w:b/>
        </w:rPr>
        <w:tab/>
        <w:t>PURPOSE</w:t>
      </w:r>
    </w:p>
    <w:p w:rsidR="005A79CE" w:rsidRDefault="005A79CE">
      <w:pPr>
        <w:jc w:val="both"/>
      </w:pPr>
    </w:p>
    <w:p w:rsidR="005A79CE" w:rsidRDefault="00987E97">
      <w:pPr>
        <w:ind w:left="720"/>
        <w:jc w:val="both"/>
      </w:pPr>
      <w:r>
        <w:t>Students are protected from discrimination on the basis of sex pursuant to Title IX of the Education Amendments of 1972 and the Minnesota Human Rights Act.  The purpose of this policy is to provide equal educational opportunity for all students and to prohibit discrimination on the basis of sex.</w:t>
      </w:r>
    </w:p>
    <w:p w:rsidR="005A79CE" w:rsidRDefault="005A79CE">
      <w:pPr>
        <w:jc w:val="both"/>
      </w:pPr>
    </w:p>
    <w:p w:rsidR="005A79CE" w:rsidRDefault="00987E97">
      <w:pPr>
        <w:ind w:left="720"/>
        <w:jc w:val="both"/>
      </w:pPr>
      <w:r>
        <w:rPr>
          <w:b/>
        </w:rPr>
        <w:t>II.</w:t>
      </w:r>
      <w:r>
        <w:rPr>
          <w:b/>
        </w:rPr>
        <w:tab/>
        <w:t>GENERAL STATEMENT OF POLICY</w:t>
      </w:r>
    </w:p>
    <w:p w:rsidR="005A79CE" w:rsidRDefault="005A79CE">
      <w:pPr>
        <w:jc w:val="both"/>
      </w:pPr>
    </w:p>
    <w:p w:rsidR="005A79CE" w:rsidRDefault="00987E97">
      <w:pPr>
        <w:ind w:left="1440"/>
        <w:jc w:val="both"/>
      </w:pPr>
      <w:r>
        <w:t>A.</w:t>
      </w:r>
      <w:r>
        <w:tab/>
        <w:t>The school district provides equal educational opportunity for all students, and does not unlawfully discriminate on the basis of sex.  No student will be excluded from participation in, denied the benefits of, or otherwise subjected to discrimination under any educational program or activity operated by the school district on the basis of sex.</w:t>
      </w:r>
    </w:p>
    <w:p w:rsidR="005A79CE" w:rsidRDefault="005A79CE">
      <w:pPr>
        <w:jc w:val="both"/>
      </w:pPr>
    </w:p>
    <w:p w:rsidR="005A79CE" w:rsidRDefault="00987E97">
      <w:pPr>
        <w:ind w:left="1440"/>
        <w:jc w:val="both"/>
      </w:pPr>
      <w:r>
        <w:t>B.</w:t>
      </w:r>
      <w:r>
        <w:tab/>
        <w:t>It is the responsibility of every school district employee to comply with this policy.</w:t>
      </w:r>
    </w:p>
    <w:p w:rsidR="005A79CE" w:rsidRDefault="005A79CE">
      <w:pPr>
        <w:jc w:val="both"/>
      </w:pPr>
    </w:p>
    <w:p w:rsidR="005A79CE" w:rsidRDefault="00987E97">
      <w:pPr>
        <w:ind w:left="1440"/>
        <w:jc w:val="both"/>
      </w:pPr>
      <w:r>
        <w:t>C.</w:t>
      </w:r>
      <w:r>
        <w:tab/>
        <w:t xml:space="preserve">The school board hereby designates Bob Jaszczak, Kittson Central Superintendent, Kittson Central Schools, Box 670, Hallock, MN  </w:t>
      </w:r>
      <w:proofErr w:type="gramStart"/>
      <w:r>
        <w:t>56728  (</w:t>
      </w:r>
      <w:proofErr w:type="gramEnd"/>
      <w:r>
        <w:t>218) 843-3682 x 223 as its Title IX coordinator.  This employee coordinates the school district’s efforts to comply with and carry out its responsibilities under Title IX.</w:t>
      </w:r>
    </w:p>
    <w:p w:rsidR="005A79CE" w:rsidRDefault="005A79CE">
      <w:pPr>
        <w:jc w:val="both"/>
      </w:pPr>
    </w:p>
    <w:p w:rsidR="005A79CE" w:rsidRDefault="00987E97">
      <w:pPr>
        <w:ind w:left="1440"/>
        <w:jc w:val="both"/>
      </w:pPr>
      <w:r>
        <w:t>D.</w:t>
      </w:r>
      <w:r>
        <w:tab/>
        <w:t>Any student, parent or guardian having questions regarding the application of Title IX and its regulations and/or this policy should discuss them with the Title IX coordinator.  Questions relating solely to Title IX and its regulations may be referred to the Assistant Secretary for Civil Rights of the United States Department of Education. In the absence of a specific designee, an inquiry or complaint should be referred to the superintendent or the school district human rights officer.</w:t>
      </w:r>
    </w:p>
    <w:p w:rsidR="005A79CE" w:rsidRDefault="005A79CE">
      <w:pPr>
        <w:jc w:val="both"/>
      </w:pPr>
    </w:p>
    <w:p w:rsidR="005A79CE" w:rsidRDefault="00987E97">
      <w:pPr>
        <w:ind w:left="720"/>
        <w:jc w:val="both"/>
      </w:pPr>
      <w:r>
        <w:rPr>
          <w:b/>
        </w:rPr>
        <w:t>III.</w:t>
      </w:r>
      <w:r>
        <w:rPr>
          <w:b/>
        </w:rPr>
        <w:tab/>
        <w:t>REPORTING GRIEVANCE PROCEDURES</w:t>
      </w:r>
    </w:p>
    <w:p w:rsidR="005A79CE" w:rsidRDefault="005A79CE">
      <w:pPr>
        <w:jc w:val="both"/>
      </w:pPr>
    </w:p>
    <w:p w:rsidR="005A79CE" w:rsidRDefault="00987E97">
      <w:pPr>
        <w:ind w:left="1440"/>
        <w:jc w:val="both"/>
      </w:pPr>
      <w:r>
        <w:t>A.</w:t>
      </w:r>
      <w:r>
        <w:tab/>
        <w:t xml:space="preserve">Any student who believes he or she has been the victim of unlawful sex discrimination by a teacher, administrator or other school district personnel, or any person with knowledge or belief of conduct which may constitute unlawful sex discrimination toward a student should report the alleged acts immediately to an appropriate school district official designated by this policy or may file a grievance.  The school district encourages the reporting party or complainant to use the report form available from the principal of each building or available from the school district office, but oral reports shall be considered complaints as well.  Nothing in </w:t>
      </w:r>
      <w:r>
        <w:lastRenderedPageBreak/>
        <w:t>this policy shall prevent any person from reporting unlawful sex discrimination toward a student directly to a school district human rights officer or to the superintendent.</w:t>
      </w:r>
    </w:p>
    <w:p w:rsidR="005A79CE" w:rsidRDefault="005A79CE">
      <w:pPr>
        <w:jc w:val="both"/>
      </w:pPr>
    </w:p>
    <w:p w:rsidR="005A79CE" w:rsidRDefault="00987E97">
      <w:pPr>
        <w:ind w:left="1440"/>
        <w:jc w:val="both"/>
      </w:pPr>
      <w:r>
        <w:t>B.</w:t>
      </w:r>
      <w:r>
        <w:tab/>
      </w:r>
      <w:r>
        <w:rPr>
          <w:u w:val="single"/>
        </w:rPr>
        <w:t>In Each School Building</w:t>
      </w:r>
      <w:r>
        <w:t>.  The building principal is the person responsible for receiving oral or written reports or grievances of unlawful sex discrimination toward a student at the building level.  Any adult school district personnel who receives a report of unlawful sex discrimination toward a student shall inform the building principal immediately.</w:t>
      </w:r>
    </w:p>
    <w:p w:rsidR="005A79CE" w:rsidRDefault="005A79CE">
      <w:pPr>
        <w:jc w:val="both"/>
      </w:pPr>
    </w:p>
    <w:p w:rsidR="005A79CE" w:rsidRDefault="00987E97">
      <w:pPr>
        <w:ind w:left="1440"/>
        <w:jc w:val="both"/>
      </w:pPr>
      <w:r>
        <w:t>C.</w:t>
      </w:r>
      <w:r>
        <w:tab/>
        <w:t>Upon receipt of a report or grievance, the principal must notify the school district human rights officer immediately, without screening or investigating the report.  The principal may request, but may not insist upon a written complaint.  A written statement of the facts alleged will be forwarded as soon as practicable by the principal to the human rights officer.  If the report was given verbally, the principal shall personally reduce it to written form within 24 hours and forward it to the human rights officer.  Failure to forward any report or complaint of unlawful sex discrimination toward a student as provided herein may result in disciplinary action against the principal.  If the complaint involves the building principal, the complaint shall be made or filed directly with the superintendent or the school district human rights officer by the reporting party or complainant.</w:t>
      </w:r>
    </w:p>
    <w:p w:rsidR="005A79CE" w:rsidRDefault="005A79CE">
      <w:pPr>
        <w:jc w:val="both"/>
      </w:pPr>
    </w:p>
    <w:p w:rsidR="005A79CE" w:rsidRDefault="00987E97">
      <w:pPr>
        <w:ind w:left="1440"/>
        <w:jc w:val="both"/>
      </w:pPr>
      <w:bookmarkStart w:id="1" w:name="_gjdgxs" w:colFirst="0" w:colLast="0"/>
      <w:bookmarkEnd w:id="1"/>
      <w:r>
        <w:t>D.</w:t>
      </w:r>
      <w:r>
        <w:tab/>
        <w:t xml:space="preserve">The school board hereby designates, Bob Jaszczak, Kittson Central Superintendent, Kittson Central Schools, Box 670, Hallock, MN  </w:t>
      </w:r>
      <w:proofErr w:type="gramStart"/>
      <w:r>
        <w:t>56728  (</w:t>
      </w:r>
      <w:proofErr w:type="gramEnd"/>
      <w:r>
        <w:t xml:space="preserve">218) 843-3682 x 223 as the school district human rights officer(s) to receive reports, complaints or grievances of unlawful sex discrimination toward a student. If the complaint involves a Human Rights Officer, the complaint shall be filed directly with Principal, Jami </w:t>
      </w:r>
      <w:proofErr w:type="spellStart"/>
      <w:r>
        <w:t>Carr</w:t>
      </w:r>
      <w:proofErr w:type="spellEnd"/>
      <w:r>
        <w:t>, PO Box 670, Hallock, MN 56728, 218-843-3682, jcarr@kittson.k12.mn.us.</w:t>
      </w:r>
    </w:p>
    <w:p w:rsidR="005A79CE" w:rsidRDefault="005A79CE">
      <w:pPr>
        <w:jc w:val="both"/>
      </w:pPr>
    </w:p>
    <w:p w:rsidR="005A79CE" w:rsidRDefault="00987E97">
      <w:pPr>
        <w:ind w:left="1440"/>
        <w:jc w:val="both"/>
      </w:pPr>
      <w:r>
        <w:t>E.</w:t>
      </w:r>
      <w:r>
        <w:tab/>
        <w:t>The school district shall conspicuously post the name of the Title IX coordinator and human rights officer(s), including office mailing addresses and telephone numbers.</w:t>
      </w:r>
    </w:p>
    <w:p w:rsidR="005A79CE" w:rsidRDefault="005A79CE">
      <w:pPr>
        <w:jc w:val="both"/>
      </w:pPr>
    </w:p>
    <w:p w:rsidR="005A79CE" w:rsidRDefault="00987E97">
      <w:pPr>
        <w:ind w:left="1440"/>
        <w:jc w:val="both"/>
      </w:pPr>
      <w:r>
        <w:t>F.</w:t>
      </w:r>
      <w:r>
        <w:tab/>
        <w:t>Submission of a good faith complaint, grievance or report of unlawful sex discrimination toward a student will not affect the complainant or reporter’s future employment, grades or work assignments.</w:t>
      </w:r>
    </w:p>
    <w:p w:rsidR="005A79CE" w:rsidRDefault="005A79CE">
      <w:pPr>
        <w:jc w:val="both"/>
      </w:pPr>
    </w:p>
    <w:p w:rsidR="005A79CE" w:rsidRDefault="00987E97">
      <w:pPr>
        <w:ind w:left="1440"/>
        <w:jc w:val="both"/>
      </w:pPr>
      <w:r>
        <w:t>G.</w:t>
      </w:r>
      <w:r>
        <w:tab/>
        <w:t>Use of formal reporting forms is not mandatory.</w:t>
      </w:r>
    </w:p>
    <w:p w:rsidR="005A79CE" w:rsidRDefault="005A79CE">
      <w:pPr>
        <w:jc w:val="both"/>
      </w:pPr>
    </w:p>
    <w:p w:rsidR="005A79CE" w:rsidRDefault="00987E97">
      <w:pPr>
        <w:ind w:left="1440"/>
        <w:jc w:val="both"/>
      </w:pPr>
      <w:r>
        <w:t>H.</w:t>
      </w:r>
      <w:r>
        <w:tab/>
        <w:t>The school district will respect the privacy of the complainant, the individual(s) against whom the complaint is filed, and the witnesses as much as possible, consistent with the school district’s legal obligations to investigate, to take appropriate action, and to conform with any discovery or disclosure obligations.</w:t>
      </w:r>
    </w:p>
    <w:p w:rsidR="005A79CE" w:rsidRDefault="005A79CE">
      <w:pPr>
        <w:jc w:val="both"/>
      </w:pPr>
    </w:p>
    <w:p w:rsidR="005A79CE" w:rsidRDefault="00987E97">
      <w:pPr>
        <w:ind w:left="720"/>
        <w:jc w:val="both"/>
      </w:pPr>
      <w:r>
        <w:rPr>
          <w:b/>
        </w:rPr>
        <w:t>IV.</w:t>
      </w:r>
      <w:r>
        <w:rPr>
          <w:b/>
        </w:rPr>
        <w:tab/>
        <w:t>INVESTIGATION</w:t>
      </w:r>
    </w:p>
    <w:p w:rsidR="005A79CE" w:rsidRDefault="005A79CE">
      <w:pPr>
        <w:jc w:val="both"/>
      </w:pPr>
    </w:p>
    <w:p w:rsidR="005A79CE" w:rsidRDefault="00987E97">
      <w:pPr>
        <w:ind w:left="1440"/>
        <w:jc w:val="both"/>
      </w:pPr>
      <w:r>
        <w:lastRenderedPageBreak/>
        <w:t>A.</w:t>
      </w:r>
      <w:r>
        <w:tab/>
        <w:t>By authority of the school district, the human rights officer, upon receipt of a report, complaint or grievance alleging unlawful sex discrimination toward a student shall promptly undertake or authorize an investigation.  The investigation may be conducted by school district officials or by a third party designated by the school district.</w:t>
      </w:r>
    </w:p>
    <w:p w:rsidR="005A79CE" w:rsidRDefault="005A79CE">
      <w:pPr>
        <w:jc w:val="both"/>
      </w:pPr>
    </w:p>
    <w:p w:rsidR="005A79CE" w:rsidRDefault="00987E97">
      <w:pPr>
        <w:ind w:left="1440"/>
        <w:jc w:val="both"/>
      </w:pPr>
      <w:r>
        <w:t>B.</w:t>
      </w:r>
      <w:r>
        <w:tab/>
        <w:t>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w:t>
      </w:r>
    </w:p>
    <w:p w:rsidR="005A79CE" w:rsidRDefault="005A79CE">
      <w:pPr>
        <w:jc w:val="both"/>
      </w:pPr>
    </w:p>
    <w:p w:rsidR="005A79CE" w:rsidRDefault="00987E97">
      <w:pPr>
        <w:ind w:left="1440"/>
        <w:jc w:val="both"/>
      </w:pPr>
      <w:r>
        <w:t>C.</w:t>
      </w:r>
      <w:r>
        <w:tab/>
        <w:t>In determining whether alleged conduct constitutes a violation of this policy, the school district should consider the surrounding circumstances, the nature of the behavior, past incidents or past or continuing patterns of behavior, the relationships between the parties involved and the context in which the alleged incidents occurred.  Whether a particular action or incident constitutes a violation of this policy requires a determination based on all the facts and surrounding circumstances.</w:t>
      </w:r>
    </w:p>
    <w:p w:rsidR="005A79CE" w:rsidRDefault="005A79CE">
      <w:pPr>
        <w:jc w:val="both"/>
      </w:pPr>
    </w:p>
    <w:p w:rsidR="005A79CE" w:rsidRDefault="00987E97">
      <w:pPr>
        <w:ind w:left="1440"/>
        <w:jc w:val="both"/>
      </w:pPr>
      <w:r>
        <w:t>D.</w:t>
      </w:r>
      <w:r>
        <w:tab/>
        <w:t>In addition, the school district may take immediate steps, at its discretion, to protect the complainant, pupils, teachers, administrators or other school personnel pending completion of an investigation of alleged unlawful sex discrimination toward a student.</w:t>
      </w:r>
    </w:p>
    <w:p w:rsidR="005A79CE" w:rsidRDefault="005A79CE">
      <w:pPr>
        <w:jc w:val="both"/>
      </w:pPr>
    </w:p>
    <w:p w:rsidR="005A79CE" w:rsidRDefault="00987E97">
      <w:pPr>
        <w:ind w:left="1440"/>
        <w:jc w:val="both"/>
      </w:pPr>
      <w:r>
        <w:t>E.</w:t>
      </w:r>
      <w:r>
        <w:tab/>
        <w:t>The investigation will be completed as soon as practicable.  The school district human rights officer shall make a written report to the superintendent upon completion of the investigation.  If the complaint involves the superintendent, the report may be filed directly with the school board.  The report shall include a determination of whether the allegations have been substantiated as factual and whether they appear to be violations of this policy.</w:t>
      </w:r>
    </w:p>
    <w:p w:rsidR="005A79CE" w:rsidRDefault="005A79CE">
      <w:pPr>
        <w:jc w:val="both"/>
      </w:pPr>
    </w:p>
    <w:p w:rsidR="005A79CE" w:rsidRDefault="00987E97">
      <w:pPr>
        <w:ind w:left="720"/>
        <w:jc w:val="both"/>
      </w:pPr>
      <w:r>
        <w:rPr>
          <w:b/>
        </w:rPr>
        <w:t>V.</w:t>
      </w:r>
      <w:r>
        <w:rPr>
          <w:b/>
        </w:rPr>
        <w:tab/>
        <w:t>SCHOOL DISTRICT ACTION</w:t>
      </w:r>
    </w:p>
    <w:p w:rsidR="005A79CE" w:rsidRDefault="005A79CE">
      <w:pPr>
        <w:jc w:val="both"/>
      </w:pPr>
    </w:p>
    <w:p w:rsidR="005A79CE" w:rsidRDefault="00987E97">
      <w:pPr>
        <w:ind w:left="1440"/>
        <w:jc w:val="both"/>
      </w:pPr>
      <w:r>
        <w:t>A.</w:t>
      </w:r>
      <w:r>
        <w:tab/>
        <w:t>Upon conclusion of the investigation and receipt of a report, the school district will take appropriate action.  Such action may include, but is not limited to, warning, suspension, exclusion, expulsion, transfer, remediation, termination or discharge.  School district action taken for violation of this policy will be consistent with requirements of applicable collective bargaining agreements, Minnesota and federal law and school district policies.</w:t>
      </w:r>
    </w:p>
    <w:p w:rsidR="005A79CE" w:rsidRDefault="005A79CE">
      <w:pPr>
        <w:jc w:val="both"/>
      </w:pPr>
    </w:p>
    <w:p w:rsidR="005A79CE" w:rsidRDefault="00987E97">
      <w:pPr>
        <w:ind w:left="1440"/>
        <w:jc w:val="both"/>
      </w:pPr>
      <w:r>
        <w:t>B.</w:t>
      </w:r>
      <w:r>
        <w:tab/>
        <w:t xml:space="preserve">The result of the school district’s investigation of each complaint filed under these procedures will be reported in writing to the complainant by the school district in accordance with state and federal law regarding data or records privacy.  </w:t>
      </w:r>
    </w:p>
    <w:p w:rsidR="005A79CE" w:rsidRDefault="005A79CE">
      <w:pPr>
        <w:jc w:val="both"/>
      </w:pPr>
    </w:p>
    <w:p w:rsidR="005A79CE" w:rsidRDefault="00987E97">
      <w:pPr>
        <w:ind w:left="720"/>
        <w:jc w:val="both"/>
      </w:pPr>
      <w:r>
        <w:rPr>
          <w:b/>
        </w:rPr>
        <w:t>VI.</w:t>
      </w:r>
      <w:r>
        <w:rPr>
          <w:b/>
        </w:rPr>
        <w:tab/>
        <w:t>REPRISAL</w:t>
      </w:r>
    </w:p>
    <w:p w:rsidR="005A79CE" w:rsidRDefault="005A79CE">
      <w:pPr>
        <w:jc w:val="both"/>
      </w:pPr>
    </w:p>
    <w:p w:rsidR="005A79CE" w:rsidRDefault="00987E97">
      <w:pPr>
        <w:ind w:left="720"/>
        <w:jc w:val="both"/>
      </w:pPr>
      <w:r>
        <w:lastRenderedPageBreak/>
        <w:t>The school district will discipline or take appropriate action against any pupil, teacher, administrator or other school personnel who retaliates against any person who reports alleged unlawful sex discrimination toward a student or any person who testifies, assists or participates in an investigation, or who testifies, assists or participates in a proceeding or hearing relating to such unlawful sex discrimination. Retaliation includes, but is not limited to, any form of intimidation, reprisal or harassment.</w:t>
      </w:r>
    </w:p>
    <w:p w:rsidR="005A79CE" w:rsidRDefault="005A79CE">
      <w:pPr>
        <w:jc w:val="both"/>
      </w:pPr>
    </w:p>
    <w:p w:rsidR="005A79CE" w:rsidRDefault="00987E97">
      <w:pPr>
        <w:ind w:left="720"/>
        <w:jc w:val="both"/>
      </w:pPr>
      <w:r>
        <w:rPr>
          <w:b/>
        </w:rPr>
        <w:t>VII.</w:t>
      </w:r>
      <w:r>
        <w:rPr>
          <w:b/>
        </w:rPr>
        <w:tab/>
        <w:t>RIGHT TO ALTERNATIVE COMPLAINT PROCEDURES</w:t>
      </w:r>
    </w:p>
    <w:p w:rsidR="005A79CE" w:rsidRDefault="005A79CE">
      <w:pPr>
        <w:jc w:val="both"/>
      </w:pPr>
    </w:p>
    <w:p w:rsidR="005A79CE" w:rsidRDefault="00987E97">
      <w:pPr>
        <w:ind w:left="720"/>
        <w:jc w:val="both"/>
      </w:pPr>
      <w:r>
        <w:t>These procedures do not deny the right of any individual to pursue other avenues of recourse which may include filing charges with the Minnesota Department of Human Rights, initiating civil action or seeking redress under state criminal statutes and/or federal law, or contacting the Office of Civil Rights for the United States Department of Education.</w:t>
      </w:r>
    </w:p>
    <w:p w:rsidR="005A79CE" w:rsidRDefault="005A79CE">
      <w:pPr>
        <w:ind w:left="720"/>
        <w:jc w:val="both"/>
      </w:pPr>
    </w:p>
    <w:p w:rsidR="005A79CE" w:rsidRDefault="00987E97">
      <w:pPr>
        <w:rPr>
          <w:b/>
        </w:rPr>
      </w:pPr>
      <w:r>
        <w:rPr>
          <w:b/>
        </w:rPr>
        <w:t xml:space="preserve">Claims of discrimination may also be pursued through the following agencies where appropriate: </w:t>
      </w:r>
    </w:p>
    <w:p w:rsidR="005A79CE" w:rsidRDefault="005A79CE">
      <w:pPr>
        <w:rPr>
          <w:b/>
        </w:rPr>
      </w:pPr>
    </w:p>
    <w:p w:rsidR="005A79CE" w:rsidRDefault="00987E97">
      <w:pPr>
        <w:rPr>
          <w:sz w:val="28"/>
          <w:szCs w:val="28"/>
        </w:rPr>
      </w:pPr>
      <w:r>
        <w:t>U.S. Department of Education</w:t>
      </w:r>
      <w:r>
        <w:tab/>
      </w:r>
      <w:r>
        <w:tab/>
      </w:r>
      <w:r>
        <w:tab/>
      </w:r>
    </w:p>
    <w:p w:rsidR="005A79CE" w:rsidRDefault="00987E97">
      <w:r>
        <w:t>Office for Civil Rights, Region V</w:t>
      </w:r>
    </w:p>
    <w:p w:rsidR="005A79CE" w:rsidRDefault="00987E97">
      <w:r>
        <w:t>500 W. Madison Street – Suite 1475</w:t>
      </w:r>
    </w:p>
    <w:p w:rsidR="005A79CE" w:rsidRDefault="00987E97">
      <w:r>
        <w:t>Chicago, IL 60661</w:t>
      </w:r>
    </w:p>
    <w:p w:rsidR="005A79CE" w:rsidRDefault="00987E97">
      <w:r>
        <w:t>Tel: 312-730-1560</w:t>
      </w:r>
    </w:p>
    <w:p w:rsidR="005A79CE" w:rsidRDefault="00987E97">
      <w:r>
        <w:t>TDD: 312-730-1609</w:t>
      </w:r>
    </w:p>
    <w:p w:rsidR="005A79CE" w:rsidRDefault="005A79CE"/>
    <w:p w:rsidR="005A79CE" w:rsidRDefault="00987E97">
      <w:r>
        <w:t>MN Department of Human Rights</w:t>
      </w:r>
    </w:p>
    <w:p w:rsidR="005A79CE" w:rsidRDefault="00987E97">
      <w:r>
        <w:t>190 E 5</w:t>
      </w:r>
      <w:r>
        <w:rPr>
          <w:vertAlign w:val="superscript"/>
        </w:rPr>
        <w:t>th</w:t>
      </w:r>
      <w:r>
        <w:t xml:space="preserve"> Street</w:t>
      </w:r>
    </w:p>
    <w:p w:rsidR="005A79CE" w:rsidRDefault="00987E97">
      <w:r>
        <w:t>St. Paul, MN 55101</w:t>
      </w:r>
    </w:p>
    <w:p w:rsidR="005A79CE" w:rsidRDefault="00987E97">
      <w:r>
        <w:t>800.657.3704</w:t>
      </w:r>
    </w:p>
    <w:p w:rsidR="005A79CE" w:rsidRDefault="00987E97">
      <w:r>
        <w:t>651.296.5663</w:t>
      </w:r>
    </w:p>
    <w:p w:rsidR="005A79CE" w:rsidRDefault="00987E97">
      <w:r>
        <w:t>TDD 651.296.1283</w:t>
      </w:r>
    </w:p>
    <w:p w:rsidR="005A79CE" w:rsidRDefault="005A79CE"/>
    <w:p w:rsidR="005A79CE" w:rsidRDefault="00987E97">
      <w:pPr>
        <w:rPr>
          <w:b/>
        </w:rPr>
      </w:pPr>
      <w:r>
        <w:rPr>
          <w:b/>
        </w:rPr>
        <w:t>For complaints of employment discrimination:</w:t>
      </w:r>
    </w:p>
    <w:p w:rsidR="005A79CE" w:rsidRDefault="00987E97">
      <w:r>
        <w:t>Equal Employment Opportunity Commission</w:t>
      </w:r>
    </w:p>
    <w:p w:rsidR="005A79CE" w:rsidRDefault="00987E97">
      <w:r>
        <w:t>330 S. 2</w:t>
      </w:r>
      <w:r>
        <w:rPr>
          <w:vertAlign w:val="superscript"/>
        </w:rPr>
        <w:t>nd</w:t>
      </w:r>
      <w:r>
        <w:t xml:space="preserve"> Avenue</w:t>
      </w:r>
    </w:p>
    <w:p w:rsidR="005A79CE" w:rsidRDefault="00987E97">
      <w:r>
        <w:t>Suite 430</w:t>
      </w:r>
    </w:p>
    <w:p w:rsidR="005A79CE" w:rsidRDefault="00987E97">
      <w:r>
        <w:t>Minneapolis, MN 55401</w:t>
      </w:r>
    </w:p>
    <w:p w:rsidR="005A79CE" w:rsidRDefault="00987E97">
      <w:r>
        <w:t>800.669.4000</w:t>
      </w:r>
    </w:p>
    <w:p w:rsidR="005A79CE" w:rsidRDefault="00987E97">
      <w:r>
        <w:t>612.335.4040</w:t>
      </w:r>
    </w:p>
    <w:p w:rsidR="005A79CE" w:rsidRDefault="00987E97">
      <w:r>
        <w:t>TDD 612.335.4045</w:t>
      </w:r>
    </w:p>
    <w:p w:rsidR="005A79CE" w:rsidRDefault="005A79CE"/>
    <w:p w:rsidR="005A79CE" w:rsidRDefault="00987E97">
      <w:r>
        <w:t>This document provides general information and is not to be a substitute for legal advice. Changes in the law, including timelines for filing a complaint, may affect your rights.</w:t>
      </w:r>
    </w:p>
    <w:p w:rsidR="005A79CE" w:rsidRDefault="005A79CE">
      <w:pPr>
        <w:ind w:left="720"/>
        <w:jc w:val="both"/>
      </w:pPr>
    </w:p>
    <w:p w:rsidR="005A79CE" w:rsidRDefault="005A79CE">
      <w:pPr>
        <w:ind w:left="720"/>
        <w:jc w:val="both"/>
      </w:pPr>
    </w:p>
    <w:p w:rsidR="005A79CE" w:rsidRDefault="005A79CE">
      <w:pPr>
        <w:ind w:left="720"/>
        <w:jc w:val="both"/>
      </w:pPr>
    </w:p>
    <w:p w:rsidR="005A79CE" w:rsidRDefault="005A79CE">
      <w:pPr>
        <w:ind w:left="720"/>
        <w:jc w:val="both"/>
      </w:pPr>
    </w:p>
    <w:p w:rsidR="005A79CE" w:rsidRDefault="005A79CE">
      <w:pPr>
        <w:jc w:val="both"/>
      </w:pPr>
    </w:p>
    <w:p w:rsidR="005A79CE" w:rsidRDefault="00987E97">
      <w:pPr>
        <w:ind w:left="720"/>
        <w:jc w:val="both"/>
      </w:pPr>
      <w:r>
        <w:rPr>
          <w:b/>
        </w:rPr>
        <w:t>VIII.</w:t>
      </w:r>
      <w:r>
        <w:rPr>
          <w:b/>
        </w:rPr>
        <w:tab/>
        <w:t>DISSEMINATION OF POLICY AND EVALUATION</w:t>
      </w:r>
    </w:p>
    <w:p w:rsidR="005A79CE" w:rsidRDefault="005A79CE">
      <w:pPr>
        <w:jc w:val="both"/>
      </w:pPr>
    </w:p>
    <w:p w:rsidR="005A79CE" w:rsidRDefault="00987E97">
      <w:pPr>
        <w:ind w:left="1440"/>
        <w:jc w:val="both"/>
      </w:pPr>
      <w:r>
        <w:t>A.</w:t>
      </w:r>
      <w:r>
        <w:tab/>
        <w:t>This policy shall be made available to all students, parents/guardians of students, staff members, employee unions and organizations.</w:t>
      </w:r>
    </w:p>
    <w:p w:rsidR="005A79CE" w:rsidRDefault="005A79CE">
      <w:pPr>
        <w:jc w:val="both"/>
      </w:pPr>
    </w:p>
    <w:p w:rsidR="005A79CE" w:rsidRDefault="00987E97">
      <w:pPr>
        <w:ind w:left="1440"/>
        <w:jc w:val="both"/>
      </w:pPr>
      <w:r>
        <w:t>B.</w:t>
      </w:r>
      <w:r>
        <w:tab/>
        <w:t>The school district shall review this policy and the school district’s operation for compliance with state and federal laws prohibiting discrimination on a continuous basis.</w:t>
      </w:r>
    </w:p>
    <w:p w:rsidR="005A79CE" w:rsidRDefault="005A79CE">
      <w:pPr>
        <w:jc w:val="both"/>
      </w:pPr>
    </w:p>
    <w:p w:rsidR="005A79CE" w:rsidRDefault="005A79CE">
      <w:pPr>
        <w:jc w:val="both"/>
      </w:pPr>
    </w:p>
    <w:p w:rsidR="005A79CE" w:rsidRDefault="00987E97">
      <w:pPr>
        <w:ind w:left="720"/>
        <w:jc w:val="both"/>
      </w:pPr>
      <w:r>
        <w:rPr>
          <w:b/>
          <w:i/>
        </w:rPr>
        <w:t>Legal References:</w:t>
      </w:r>
      <w:r>
        <w:tab/>
        <w:t>Minn. Stat. § 121A.04 (Athletic Programs; Sex Discrimination)</w:t>
      </w:r>
    </w:p>
    <w:p w:rsidR="005A79CE" w:rsidRDefault="00987E97">
      <w:pPr>
        <w:ind w:left="2160"/>
        <w:jc w:val="both"/>
      </w:pPr>
      <w:r>
        <w:t>Minn. Stat. Ch. 363A (Minnesota Human Rights Act)</w:t>
      </w:r>
    </w:p>
    <w:p w:rsidR="005A79CE" w:rsidRDefault="00987E97">
      <w:pPr>
        <w:ind w:left="2160"/>
        <w:jc w:val="both"/>
      </w:pPr>
      <w:r>
        <w:t>20 U.S.C. §§ 1681-1688 (Title IX of the Education Amendments of 1972)</w:t>
      </w:r>
    </w:p>
    <w:p w:rsidR="005A79CE" w:rsidRDefault="00987E97">
      <w:pPr>
        <w:ind w:left="2160"/>
        <w:jc w:val="both"/>
      </w:pPr>
      <w:r>
        <w:t>34 C.F.R. Part 106 (Implementing Regulations of Title IX)</w:t>
      </w:r>
    </w:p>
    <w:p w:rsidR="005A79CE" w:rsidRDefault="005A79CE">
      <w:pPr>
        <w:jc w:val="both"/>
      </w:pPr>
    </w:p>
    <w:p w:rsidR="005A79CE" w:rsidRDefault="00987E97">
      <w:pPr>
        <w:ind w:left="720"/>
        <w:jc w:val="both"/>
      </w:pPr>
      <w:r>
        <w:rPr>
          <w:b/>
          <w:i/>
        </w:rPr>
        <w:t>Cross References:</w:t>
      </w:r>
      <w:r>
        <w:tab/>
        <w:t>MSBA/MASA Model Policy 102 (Equal Educational Opportunity)</w:t>
      </w:r>
    </w:p>
    <w:p w:rsidR="005A79CE" w:rsidRDefault="00987E97">
      <w:pPr>
        <w:ind w:left="2160"/>
        <w:jc w:val="both"/>
      </w:pPr>
      <w:r>
        <w:t>MSBA/MASA Model Policy 413 (Harassment and Violence)</w:t>
      </w:r>
    </w:p>
    <w:p w:rsidR="005A79CE" w:rsidRDefault="00987E97">
      <w:pPr>
        <w:ind w:left="2160"/>
        <w:jc w:val="both"/>
      </w:pPr>
      <w:r>
        <w:t>MSBA/MASA Model Policy 528 (Student Parental, Family, and Marital Status Nondiscrimination)</w:t>
      </w:r>
    </w:p>
    <w:sectPr w:rsidR="005A79CE">
      <w:pgSz w:w="12240" w:h="15840"/>
      <w:pgMar w:top="144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CE"/>
    <w:rsid w:val="00357E7B"/>
    <w:rsid w:val="005A79CE"/>
    <w:rsid w:val="0098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91ED6"/>
  <w15:docId w15:val="{3F3A40EA-3A0E-064C-991F-DE5EA023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87E97"/>
    <w:rPr>
      <w:sz w:val="18"/>
      <w:szCs w:val="18"/>
    </w:rPr>
  </w:style>
  <w:style w:type="character" w:customStyle="1" w:styleId="BalloonTextChar">
    <w:name w:val="Balloon Text Char"/>
    <w:basedOn w:val="DefaultParagraphFont"/>
    <w:link w:val="BalloonText"/>
    <w:uiPriority w:val="99"/>
    <w:semiHidden/>
    <w:rsid w:val="00987E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2018-10-23T12:08:00Z</dcterms:created>
  <dcterms:modified xsi:type="dcterms:W3CDTF">2018-10-23T12:09:00Z</dcterms:modified>
</cp:coreProperties>
</file>